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bCs/>
        </w:rPr>
      </w:pPr>
      <w:r>
        <w:rPr>
          <w:rFonts w:cs="Arial" w:ascii="Carlito" w:hAnsi="Carlito"/>
          <w:b/>
          <w:bCs/>
          <w:i w:val="false"/>
          <w:iCs w:val="false"/>
          <w:sz w:val="26"/>
          <w:szCs w:val="26"/>
          <w:u w:val="single"/>
        </w:rPr>
        <w:t>NOTICE</w:t>
      </w:r>
    </w:p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rFonts w:cs="Arial" w:ascii="Carlito" w:hAnsi="Carlito"/>
          <w:b/>
          <w:bCs/>
          <w:i w:val="false"/>
          <w:iCs w:val="false"/>
          <w:sz w:val="26"/>
          <w:szCs w:val="26"/>
          <w:u w:val="single"/>
        </w:rPr>
        <w:t>Invitation</w:t>
      </w:r>
      <w:r>
        <w:rPr>
          <w:rFonts w:cs="Arial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single"/>
        </w:rPr>
        <w:t xml:space="preserve"> </w:t>
      </w:r>
      <w:r>
        <w:rPr>
          <w:rFonts w:cs="Arial" w:ascii="Carlito" w:hAnsi="Carlito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single"/>
          <w:shd w:fill="auto" w:val="clear"/>
        </w:rPr>
        <w:t>for -</w:t>
      </w:r>
      <w:r>
        <w:rPr>
          <w:rFonts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u w:val="single"/>
          <w:shd w:fill="auto" w:val="clear"/>
        </w:rPr>
        <w:t>Niryat Bandhu Scheme</w:t>
      </w:r>
    </w:p>
    <w:p>
      <w:pPr>
        <w:pStyle w:val="Normal"/>
        <w:spacing w:lineRule="auto" w:line="276"/>
        <w:jc w:val="both"/>
        <w:rPr>
          <w:rFonts w:ascii="Carlito" w:hAnsi="Carlito"/>
          <w:b w:val="false"/>
          <w:bCs w:val="false"/>
          <w:sz w:val="26"/>
          <w:szCs w:val="26"/>
        </w:rPr>
      </w:pPr>
      <w:r>
        <w:rPr>
          <w:rFonts w:ascii="Carlito" w:hAnsi="Carlito"/>
          <w:b w:val="false"/>
          <w:bCs w:val="false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Carlito" w:hAnsi="Carlito"/>
          <w:b w:val="false"/>
          <w:bCs w:val="false"/>
          <w:sz w:val="26"/>
          <w:szCs w:val="26"/>
        </w:rPr>
      </w:pPr>
      <w:r>
        <w:rPr>
          <w:rFonts w:ascii="Carlito" w:hAnsi="Carlito"/>
          <w:b w:val="false"/>
          <w:bCs w:val="false"/>
          <w:color w:val="000000"/>
          <w:sz w:val="26"/>
          <w:szCs w:val="26"/>
        </w:rPr>
        <w:tab/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>“Niryat Bandhu Scheme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”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an Outreach Seminar on FTA &amp; Export Incentives, organized by the </w:t>
      </w:r>
      <w:r>
        <w:rPr>
          <w:rFonts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EEPC INDIA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in association with </w:t>
      </w:r>
      <w:r>
        <w:rPr>
          <w:rFonts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DGFT, Axodian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</w:t>
      </w:r>
      <w:r>
        <w:rPr>
          <w:rFonts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Rajkot Engineering Association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is organizing an Outreach Seminar on FTA &amp; Export Incentives &amp; Challenges in EDPMS closure and eBRC generation &amp; Export Opportunities through Sub Contracting on 7th August 2026 at Rajkot.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ascii="arial;helvetica;sans-serif" w:hAnsi="arial;helvetica;sans-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ab/>
      </w:r>
    </w:p>
    <w:tbl>
      <w:tblPr>
        <w:tblW w:w="9026" w:type="dxa"/>
        <w:jc w:val="center"/>
        <w:tblInd w:w="0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279"/>
        <w:gridCol w:w="362"/>
        <w:gridCol w:w="6385"/>
      </w:tblGrid>
      <w:tr>
        <w:trPr/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99" w:val="clear"/>
            <w:vAlign w:val="center"/>
          </w:tcPr>
          <w:p>
            <w:pPr>
              <w:pStyle w:val="TableHeading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Speakers will cover the topics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99" w:val="clear"/>
            <w:vAlign w:val="center"/>
          </w:tcPr>
          <w:p>
            <w:pPr>
              <w:pStyle w:val="TableHeading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99" w:val="clear"/>
            <w:vAlign w:val="center"/>
          </w:tcPr>
          <w:p>
            <w:pPr>
              <w:pStyle w:val="TableHeading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pacing w:lineRule="auto" w:line="240" w:before="0" w:after="283"/>
              <w:ind w:left="709" w:hanging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color w:val="000000"/>
                <w:sz w:val="20"/>
                <w:szCs w:val="20"/>
              </w:rPr>
              <w:t>FTA &amp; Export Incentives</w:t>
            </w:r>
          </w:p>
          <w:p>
            <w:pPr>
              <w:pStyle w:val="TableHeading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spacing w:lineRule="auto" w:line="240" w:before="0" w:after="283"/>
              <w:ind w:left="709" w:hanging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color w:val="000000"/>
                <w:sz w:val="20"/>
                <w:szCs w:val="20"/>
              </w:rPr>
              <w:t>Challenges in EDPMS closure and eBRC generation</w:t>
            </w:r>
          </w:p>
          <w:p>
            <w:pPr>
              <w:pStyle w:val="TableHeading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0" w:leader="none"/>
              </w:tabs>
              <w:spacing w:lineRule="auto" w:line="240" w:before="0" w:after="283"/>
              <w:ind w:left="709" w:hanging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color w:val="000000"/>
                <w:sz w:val="20"/>
                <w:szCs w:val="20"/>
              </w:rPr>
              <w:t>Opportunities for Engineering Exports</w:t>
            </w:r>
          </w:p>
          <w:p>
            <w:pPr>
              <w:pStyle w:val="TableHeading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0" w:leader="none"/>
              </w:tabs>
              <w:spacing w:lineRule="auto" w:line="240" w:before="0" w:after="283"/>
              <w:ind w:left="709" w:hanging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color w:val="000000"/>
                <w:sz w:val="20"/>
                <w:szCs w:val="20"/>
              </w:rPr>
              <w:t>Support from EEPC India</w:t>
            </w:r>
          </w:p>
          <w:p>
            <w:pPr>
              <w:pStyle w:val="TableHeading"/>
              <w:widowControl w:val="false"/>
              <w:spacing w:before="0" w:after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How you benefit from Subcontracting show:</w:t>
            </w:r>
          </w:p>
          <w:p>
            <w:pPr>
              <w:pStyle w:val="TableHeading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0" w:leader="none"/>
              </w:tabs>
              <w:spacing w:lineRule="auto" w:line="240" w:before="0" w:after="283"/>
              <w:ind w:left="709" w:hanging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color w:val="000000"/>
                <w:sz w:val="20"/>
                <w:szCs w:val="20"/>
              </w:rPr>
              <w:t>Meet Big Corporates and Multinationals in Sourcing Meets</w:t>
            </w:r>
          </w:p>
          <w:p>
            <w:pPr>
              <w:pStyle w:val="TableHeading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0" w:leader="none"/>
              </w:tabs>
              <w:spacing w:lineRule="auto" w:line="240" w:before="0" w:after="283"/>
              <w:ind w:left="709" w:hanging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color w:val="000000"/>
                <w:sz w:val="20"/>
                <w:szCs w:val="20"/>
              </w:rPr>
              <w:t>Meet Buyers from around the world including Latin American countries like, Brazil, Argentina, Mexico. Etc.</w:t>
            </w:r>
          </w:p>
          <w:p>
            <w:pPr>
              <w:pStyle w:val="TableHeading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0" w:leader="none"/>
              </w:tabs>
              <w:spacing w:lineRule="auto" w:line="240" w:before="0" w:after="283"/>
              <w:ind w:left="709" w:hanging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color w:val="000000"/>
                <w:sz w:val="20"/>
                <w:szCs w:val="20"/>
              </w:rPr>
              <w:t>Explore Technology transfer partnership, joint ventures, mergers and acquisitions with overseas companies</w:t>
            </w:r>
          </w:p>
          <w:p>
            <w:pPr>
              <w:pStyle w:val="TableHeading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0" w:leader="none"/>
              </w:tabs>
              <w:spacing w:lineRule="auto" w:line="240" w:before="0" w:after="283"/>
              <w:ind w:left="709" w:hanging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color w:val="000000"/>
                <w:sz w:val="20"/>
                <w:szCs w:val="20"/>
              </w:rPr>
              <w:t>Explore vendor Development opportunities with major Indian Govt. Organizations and PSUs</w:t>
            </w:r>
          </w:p>
          <w:p>
            <w:pPr>
              <w:pStyle w:val="TableHeading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0" w:leader="none"/>
              </w:tabs>
              <w:spacing w:lineRule="auto" w:line="240" w:before="0" w:after="283"/>
              <w:ind w:left="709" w:hanging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color w:val="000000"/>
                <w:sz w:val="20"/>
                <w:szCs w:val="20"/>
              </w:rPr>
              <w:t>B2B Meetings with overseas buyers and hosted buyer programs.</w:t>
            </w:r>
          </w:p>
          <w:p>
            <w:pPr>
              <w:pStyle w:val="TableHeading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0" w:leader="none"/>
              </w:tabs>
              <w:spacing w:lineRule="auto" w:line="240" w:before="0" w:after="283"/>
              <w:ind w:left="709" w:hanging="28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color w:val="000000"/>
                <w:sz w:val="20"/>
                <w:szCs w:val="20"/>
              </w:rPr>
              <w:t>Meet on Indian inbound and outbound investment</w:t>
            </w:r>
          </w:p>
        </w:tc>
      </w:tr>
      <w:tr>
        <w:trPr/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3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Target Audience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3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6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3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Exporters, Importers, Manufacturing Companies, Engineering Industries, CEOs, Heads of Export Firms, etc.</w:t>
            </w:r>
          </w:p>
        </w:tc>
      </w:tr>
      <w:tr>
        <w:trPr/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3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Participation charges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3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6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3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 Participation fees (Registration is Mandatory)</w:t>
            </w:r>
          </w:p>
        </w:tc>
      </w:tr>
      <w:tr>
        <w:trPr/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3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Click on Link to Register</w:t>
            </w:r>
          </w:p>
        </w:tc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3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6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300"/>
              <w:jc w:val="both"/>
              <w:rPr/>
            </w:pPr>
            <w:hyperlink r:id="rId2" w:tgtFrame="_blank">
              <w:r>
                <w:rPr>
                  <w:rStyle w:val="InternetLink"/>
                  <w:rFonts w:ascii="arial" w:hAnsi="arial"/>
                  <w:color w:val="2828DA"/>
                  <w:sz w:val="20"/>
                  <w:szCs w:val="20"/>
                  <w:u w:val="single"/>
                </w:rPr>
                <w:t>https://app.eepcindia.com/ems/seminar_management/seminar_registration/NTU0</w:t>
              </w:r>
            </w:hyperlink>
          </w:p>
        </w:tc>
      </w:tr>
    </w:tbl>
    <w:p>
      <w:pPr>
        <w:pStyle w:val="TextBody"/>
        <w:widowControl/>
        <w:spacing w:before="0" w:after="0"/>
        <w:ind w:left="0" w:right="0" w:hanging="0"/>
        <w:jc w:val="both"/>
        <w:rPr>
          <w:sz w:val="26"/>
          <w:szCs w:val="26"/>
        </w:rPr>
      </w:pPr>
      <w:r>
        <w:rPr/>
      </w:r>
    </w:p>
    <w:p>
      <w:pPr>
        <w:pStyle w:val="TextBody"/>
        <w:widowControl/>
        <w:spacing w:before="0" w:after="0"/>
        <w:ind w:left="0" w:right="0" w:hanging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extBody"/>
        <w:widowControl/>
        <w:spacing w:before="0" w:after="0"/>
        <w:ind w:left="0" w:right="0" w:hanging="0"/>
        <w:jc w:val="center"/>
        <w:rPr>
          <w:b/>
          <w:bCs/>
        </w:rPr>
      </w:pPr>
      <w:r>
        <w:rPr>
          <w:rFonts w:ascii="Carlito" w:hAnsi="Carlito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***</w:t>
      </w:r>
    </w:p>
    <w:p>
      <w:pPr>
        <w:pStyle w:val="TextBody"/>
        <w:widowControl/>
        <w:spacing w:before="0" w:after="0"/>
        <w:ind w:left="0" w:right="0" w:hanging="0"/>
        <w:jc w:val="both"/>
        <w:rPr>
          <w:rFonts w:ascii="Carlito" w:hAnsi="Carlito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rlito" w:hAnsi="Carlito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  <w:font w:name="arial">
    <w:altName w:val="helvetica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Apple-converted-space">
    <w:name w:val="apple-converted-space"/>
    <w:qFormat/>
    <w:rPr/>
  </w:style>
  <w:style w:type="character" w:styleId="InternetLink">
    <w:name w:val="Hyperlink"/>
    <w:rPr>
      <w:color w:val="0000FF"/>
      <w:u w:val="single"/>
    </w:rPr>
  </w:style>
  <w:style w:type="character" w:styleId="Mention">
    <w:name w:val="Mention"/>
    <w:qFormat/>
    <w:rPr>
      <w:color w:val="2B579A"/>
      <w:shd w:fill="E6E6E6" w:val="clear"/>
    </w:rPr>
  </w:style>
  <w:style w:type="character" w:styleId="Heading2Char">
    <w:name w:val="Heading 2 Char"/>
    <w:qFormat/>
    <w:rPr>
      <w:rFonts w:ascii="Arial" w:hAnsi="Arial" w:eastAsia="Times New Roman" w:cs="Arial"/>
      <w:sz w:val="28"/>
      <w:szCs w:val="24"/>
      <w:lang w:val="en-US"/>
    </w:rPr>
  </w:style>
  <w:style w:type="character" w:styleId="Go">
    <w:name w:val="go"/>
    <w:qFormat/>
    <w:rPr/>
  </w:style>
  <w:style w:type="character" w:styleId="BalloonTextChar">
    <w:name w:val="Balloon Text Char"/>
    <w:qFormat/>
    <w:rPr>
      <w:rFonts w:ascii="Segoe UI" w:hAnsi="Segoe UI" w:eastAsia="Times New Roman" w:cs="Segoe UI"/>
      <w:sz w:val="18"/>
      <w:szCs w:val="18"/>
      <w:lang w:val="en-US"/>
    </w:rPr>
  </w:style>
  <w:style w:type="character" w:styleId="HeaderChar">
    <w:name w:val="Header Char"/>
    <w:qFormat/>
    <w:rPr>
      <w:rFonts w:ascii="Arial" w:hAnsi="Arial" w:eastAsia="Times New Roman" w:cs="Mangal"/>
      <w:sz w:val="24"/>
      <w:szCs w:val="24"/>
      <w:lang w:val="en-AU" w:bidi="sa-IN"/>
    </w:rPr>
  </w:style>
  <w:style w:type="character" w:styleId="UnresolvedMention">
    <w:name w:val="Unresolved Mention"/>
    <w:qFormat/>
    <w:rPr>
      <w:color w:val="808080"/>
      <w:shd w:fill="E6E6E6" w:val="clear"/>
    </w:rPr>
  </w:style>
  <w:style w:type="character" w:styleId="Heading4Char">
    <w:name w:val="Heading 4 Char"/>
    <w:qFormat/>
    <w:rPr>
      <w:rFonts w:ascii="Calibri" w:hAnsi="Calibri" w:eastAsia="Times New Roman" w:cs="Times New Roman"/>
      <w:b/>
      <w:bCs/>
      <w:sz w:val="28"/>
      <w:szCs w:val="28"/>
      <w:lang w:val="en-US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Normaltextrun">
    <w:name w:val="normaltextrun"/>
    <w:basedOn w:val="DefaultParagraphFont"/>
    <w:qFormat/>
    <w:rPr/>
  </w:style>
  <w:style w:type="character" w:styleId="VisitedInternetLink">
    <w:name w:val="FollowedHyperlink"/>
    <w:basedOn w:val="DefaultParagraphFont"/>
    <w:rPr>
      <w:color w:val="954F72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Arial" w:hAnsi="Arial" w:eastAsia="Calibri" w:cs="Arial"/>
      <w:color w:val="auto"/>
      <w:kern w:val="0"/>
      <w:sz w:val="24"/>
      <w:szCs w:val="24"/>
      <w:lang w:val="en-US" w:eastAsia="zh-CN"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Mangal"/>
      <w:lang w:val="en-AU" w:bidi="sa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il.mgovcloud.in/zm/reUrlCheck.do?url=https%3A%2F%2Fzcvts-zgph.maillist-manage.in%2Fclick%2F142704a3622b91fe%2F142704a3622a79f1&amp;uvd=0801129102fec04d8144a194e62ac811080000c8363e35b68f3bbac1b6941276c9f91711d20e2dcaca542ece27a58a35e38bf96b2fd57aa2cfd075d2da7d3f2689353a334bf2de543406d21f1477861e52b93f57700ba7579c57a2ed6227c16f1b9f2afbccf5120e864c460f5f9c4e1d22c2d959a93c9a33f6ec264a897f1a63e9c25a69bfd1885fe2ff5d98a6209ba0348fa247c16641cc026ab07d2f38dd30faaef08e2fce065974d8662ea98b58fb1c34f9709f71cbfadeeac1e5d3463ff83cf70db79ff246283788df5afabf6d52e4efec408f8450d270f5094b167419ba33983954d15d0d67643c02f8c61570b6d098f5c0c610321df0cdc9dfdffac7a1572d6b29b3cc830d1d910a90afd3307fd7433357f98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0000_</Template>
  <TotalTime>3560</TotalTime>
  <Application>LibreOffice/7.5.9.2$Linux_X86_64 LibreOffice_project/50$Build-2</Application>
  <AppVersion>15.0000</AppVersion>
  <Pages>1</Pages>
  <Words>195</Words>
  <Characters>1205</Characters>
  <CharactersWithSpaces>1367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2018-09-30T12:45:00Z</dcterms:created>
  <dc:creator>HP</dc:creator>
  <dc:description/>
  <dc:language>en-US</dc:language>
  <cp:lastModifiedBy/>
  <cp:lastPrinted>2026-07-01T11:20:26Z</cp:lastPrinted>
  <dcterms:modified xsi:type="dcterms:W3CDTF">2026-07-14T11:09:13Z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